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hint="eastAsia" w:ascii="黑体" w:hAnsi="黑体" w:eastAsia="黑体" w:cs="黑体"/>
          <w:sz w:val="32"/>
          <w:szCs w:val="32"/>
        </w:rPr>
      </w:pPr>
      <w:bookmarkStart w:id="0" w:name="_Toc533083258"/>
      <w:bookmarkStart w:id="1" w:name="_Toc531878321"/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adjustRightInd w:val="0"/>
        <w:snapToGrid w:val="0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方正小标宋简体" w:hAnsi="仿宋" w:eastAsia="方正小标宋简体" w:cs="仿宋"/>
          <w:sz w:val="32"/>
          <w:szCs w:val="32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国家级、省级继续医学教育项目系统管理流程</w:t>
      </w:r>
    </w:p>
    <w:p>
      <w:pPr>
        <w:adjustRightInd w:val="0"/>
        <w:snapToGrid w:val="0"/>
        <w:spacing w:line="59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zh-CN"/>
        </w:rPr>
      </w:pPr>
    </w:p>
    <w:bookmarkEnd w:id="0"/>
    <w:p>
      <w:pPr>
        <w:adjustRightInd w:val="0"/>
        <w:snapToGrid w:val="0"/>
        <w:spacing w:line="590" w:lineRule="exact"/>
        <w:ind w:firstLine="562" w:firstLineChars="201"/>
        <w:rPr>
          <w:rFonts w:hint="eastAsia" w:ascii="仿宋_GB2312" w:hAnsi="仿宋_GB2312" w:eastAsia="仿宋_GB2312" w:cs="仿宋_GB2312"/>
          <w:bCs/>
          <w:spacing w:val="-20"/>
          <w:sz w:val="32"/>
          <w:szCs w:val="32"/>
        </w:rPr>
      </w:pPr>
      <w:r>
        <w:rPr>
          <w:rFonts w:hint="eastAsia" w:ascii="黑体" w:hAnsi="黑体" w:eastAsia="黑体" w:cs="黑体"/>
          <w:spacing w:val="-20"/>
          <w:sz w:val="32"/>
          <w:szCs w:val="32"/>
        </w:rPr>
        <w:t>一、举办前登记备案</w:t>
      </w:r>
      <w:r>
        <w:rPr>
          <w:rFonts w:hint="eastAsia" w:ascii="黑体" w:hAnsi="黑体" w:eastAsia="黑体" w:cs="仿宋_GB2312"/>
          <w:bCs/>
          <w:spacing w:val="-2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Cs/>
          <w:spacing w:val="-20"/>
          <w:sz w:val="32"/>
          <w:szCs w:val="32"/>
        </w:rPr>
        <w:t>登陆系统网址：</w:t>
      </w:r>
      <w:r>
        <w:rPr>
          <w:rFonts w:hint="eastAsia" w:ascii="仿宋_GB2312" w:hAnsi="仿宋_GB2312" w:eastAsia="仿宋_GB2312" w:cs="仿宋_GB2312"/>
          <w:bCs/>
          <w:spacing w:val="-20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bCs/>
          <w:spacing w:val="-20"/>
          <w:sz w:val="32"/>
          <w:szCs w:val="32"/>
        </w:rPr>
        <w:instrText xml:space="preserve"> HYPERLINK "http://220.160.53.27:18005" </w:instrText>
      </w:r>
      <w:r>
        <w:rPr>
          <w:rFonts w:hint="eastAsia" w:ascii="仿宋_GB2312" w:hAnsi="仿宋_GB2312" w:eastAsia="仿宋_GB2312" w:cs="仿宋_GB2312"/>
          <w:bCs/>
          <w:spacing w:val="-20"/>
          <w:sz w:val="32"/>
          <w:szCs w:val="32"/>
        </w:rPr>
        <w:fldChar w:fldCharType="separate"/>
      </w:r>
      <w:r>
        <w:rPr>
          <w:rStyle w:val="4"/>
          <w:rFonts w:ascii="仿宋_GB2312" w:hAnsi="仿宋_GB2312" w:cs="仿宋_GB2312"/>
          <w:bCs/>
          <w:spacing w:val="-20"/>
          <w:sz w:val="32"/>
          <w:szCs w:val="32"/>
        </w:rPr>
        <w:t>http://220.160.53.27:18005</w:t>
      </w:r>
      <w:r>
        <w:rPr>
          <w:rFonts w:hint="eastAsia" w:ascii="仿宋_GB2312" w:hAnsi="仿宋_GB2312" w:eastAsia="仿宋_GB2312" w:cs="仿宋_GB2312"/>
          <w:bCs/>
          <w:spacing w:val="-20"/>
          <w:sz w:val="32"/>
          <w:szCs w:val="32"/>
        </w:rPr>
        <w:fldChar w:fldCharType="end"/>
      </w:r>
    </w:p>
    <w:bookmarkEnd w:id="1"/>
    <w:p>
      <w:pPr>
        <w:adjustRightInd w:val="0"/>
        <w:snapToGrid w:val="0"/>
        <w:spacing w:line="590" w:lineRule="exact"/>
        <w:ind w:firstLine="645"/>
        <w:rPr>
          <w:rFonts w:hint="eastAsia" w:ascii="仿宋_GB2312" w:hAnsi="仿宋" w:eastAsia="仿宋_GB2312" w:cs="仿宋"/>
          <w:bCs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bCs/>
          <w:sz w:val="32"/>
          <w:szCs w:val="32"/>
        </w:rPr>
        <w:t>（一）进入“继教活动－项目管理”，国家级和省级项目由省级卫生行政部门审批公布后，直接同步到举办方办班账号</w:t>
      </w:r>
      <w:r>
        <w:rPr>
          <w:rFonts w:hint="eastAsia" w:ascii="仿宋_GB2312" w:hAnsi="仿宋" w:eastAsia="仿宋_GB2312" w:cs="仿宋"/>
          <w:bCs/>
          <w:color w:val="000000"/>
          <w:sz w:val="32"/>
          <w:szCs w:val="32"/>
        </w:rPr>
        <w:t>（即用哪个账号申报的项目，培训办班也要用此账号）</w:t>
      </w:r>
      <w:r>
        <w:rPr>
          <w:rFonts w:hint="eastAsia" w:ascii="仿宋_GB2312" w:hAnsi="仿宋_GB2312" w:cs="仿宋_GB2312"/>
          <w:bCs/>
          <w:color w:val="000000"/>
          <w:sz w:val="32"/>
          <w:szCs w:val="32"/>
        </w:rPr>
        <w:t>。</w:t>
      </w:r>
      <w:r>
        <w:rPr>
          <w:rFonts w:hint="eastAsia" w:ascii="仿宋_GB2312" w:hAnsi="仿宋" w:eastAsia="仿宋_GB2312" w:cs="仿宋"/>
          <w:bCs/>
          <w:color w:val="000000"/>
          <w:sz w:val="32"/>
          <w:szCs w:val="32"/>
        </w:rPr>
        <w:t>（注：举办方千万不要自己“添加”项目，只能在“继教活动－项目管理”中查找到项目，进行“维护课程信息”和“维护举办周期”。）</w:t>
      </w:r>
    </w:p>
    <w:p>
      <w:pPr>
        <w:adjustRightInd w:val="0"/>
        <w:snapToGrid w:val="0"/>
        <w:spacing w:line="590" w:lineRule="exact"/>
        <w:ind w:firstLine="645"/>
        <w:rPr>
          <w:rFonts w:hint="eastAsia" w:ascii="仿宋" w:hAnsi="仿宋" w:eastAsia="仿宋" w:cs="仿宋"/>
          <w:bCs/>
          <w:color w:val="000000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372100" cy="2493010"/>
            <wp:effectExtent l="0" t="0" r="0" b="2540"/>
            <wp:docPr id="13" name="图片 1" descr="161844615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 descr="1618446152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7845" cy="260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59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</w:t>
      </w:r>
    </w:p>
    <w:p>
      <w:pPr>
        <w:adjustRightInd w:val="0"/>
        <w:snapToGrid w:val="0"/>
        <w:spacing w:line="590" w:lineRule="exact"/>
        <w:ind w:firstLine="614" w:firstLineChars="192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（二）进入“省级项目申报系统”模块，填写举办前登记，完成项目举办前登记备案。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379720" cy="1670685"/>
            <wp:effectExtent l="0" t="0" r="11430" b="571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175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二、项目实施过程管理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培训考勤。项目举办前登记上报审批通过后，即可培训办班，利用二维码考勤或人脸识别进行考勤，必要时可以对培训班进行评价和培训考试。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三、学分授予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（一）点击“学分管理-项目参加者授分”，找到要授分的项目，根据考勤记录进行初步授分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（个别二维码考勤失败的人员名单可用手工授分方式补录）。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053965" cy="1835785"/>
            <wp:effectExtent l="0" t="0" r="13335" b="1206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53965" cy="183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1.点击“授分”，跳转至授分页面。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157470" cy="1703705"/>
            <wp:effectExtent l="0" t="0" r="5080" b="1079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57470" cy="170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2.点击“考勤明细”，可查看所有参会且考勤成功的人员明细。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118100" cy="1815465"/>
            <wp:effectExtent l="0" t="0" r="6350" b="13335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181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3.点击“考勤分析”，设置刷卡周期（一般半天设置刷卡2次，即课前和课后，刷卡周期即为培训办班时扫二维码的时间段），点击考勤分析，在页面的下方，符合多个刷卡周期的人员将被分析出来。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4888230" cy="1562100"/>
            <wp:effectExtent l="0" t="0" r="7620" b="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8823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4.点击“确定”，符合条件的参会人员将进入有效人员名单，最后才给这些人员授予学分。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166995" cy="1045845"/>
            <wp:effectExtent l="0" t="0" r="14605" b="1905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63795" cy="100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firstLine="585" w:firstLineChars="183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（二）授分后，通过“统计查询-项目明细查询”，导出已授分人员名单。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4934585" cy="1628140"/>
            <wp:effectExtent l="0" t="0" r="18415" b="10160"/>
            <wp:docPr id="1" name="图片 8" descr="161841041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" descr="1618410410(1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34585" cy="162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firstLine="537" w:firstLineChars="168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填写“执行情况反馈”。将导出的授分人员名单，上传到第3页；“执行情况反馈”第4页点</w:t>
      </w:r>
      <w:r>
        <w:rPr>
          <w:rFonts w:hint="eastAsia" w:ascii="仿宋_GB2312" w:hAnsi="宋体" w:eastAsia="仿宋_GB2312" w:cs="宋体"/>
          <w:color w:val="000000"/>
          <w:szCs w:val="28"/>
        </w:rPr>
        <w:t>“蓝框”后会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自动对接授分人员名单。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010785" cy="1367155"/>
            <wp:effectExtent l="0" t="0" r="18415" b="4445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10785" cy="136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122545" cy="1237615"/>
            <wp:effectExtent l="0" t="0" r="1905" b="635"/>
            <wp:docPr id="17" name="图片 10" descr="161840592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0" descr="1618405927(1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123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/>
        </w:rPr>
        <w:drawing>
          <wp:inline distT="0" distB="0" distL="114300" distR="114300">
            <wp:extent cx="5136515" cy="1253490"/>
            <wp:effectExtent l="0" t="0" r="6985" b="3810"/>
            <wp:docPr id="7" name="图片 11" descr="161840597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1" descr="1618405975(1)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36515" cy="125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四、项目总结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需在培训班结束后30个工作日内进入“省级项目申报系统”模块，按要求填写并上传项目执行情况反馈和相关材料，才可授予学分。国家级项目要同时登陆http://cmegsb.cma.org.cn填写上报执行情况反馈。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076825" cy="1817370"/>
            <wp:effectExtent l="0" t="0" r="9525" b="1143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181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  <w:rPr>
          <w:rFonts w:hint="eastAsia" w:ascii="仿宋_GB2312"/>
          <w:sz w:val="28"/>
          <w:szCs w:val="28"/>
        </w:rPr>
      </w:pPr>
    </w:p>
    <w:p>
      <w:pPr>
        <w:adjustRightInd w:val="0"/>
        <w:snapToGrid w:val="0"/>
        <w:ind w:firstLine="280" w:firstLineChars="100"/>
      </w:pPr>
      <w:r>
        <w:rPr>
          <w:rFonts w:hint="eastAsia" w:ascii="仿宋_GB2312"/>
          <w:sz w:val="28"/>
          <w:szCs w:val="28"/>
        </w:rPr>
        <w:t>抄送：</w:t>
      </w:r>
      <w:bookmarkStart w:id="2" w:name="copydelivery"/>
      <w:r>
        <w:rPr>
          <w:rFonts w:hint="eastAsia" w:ascii="仿宋_GB2312"/>
          <w:sz w:val="28"/>
          <w:szCs w:val="28"/>
          <w:lang w:eastAsia="zh-CN"/>
        </w:rPr>
        <w:t>省医学会</w:t>
      </w:r>
      <w:bookmarkEnd w:id="2"/>
      <w:bookmarkStart w:id="3" w:name="_GoBack"/>
      <w:bookmarkEnd w:id="3"/>
    </w:p>
    <w:sectPr>
      <w:footerReference r:id="rId3" w:type="default"/>
      <w:footerReference r:id="rId4" w:type="even"/>
      <w:pgSz w:w="11906" w:h="16838"/>
      <w:pgMar w:top="1814" w:right="1474" w:bottom="1701" w:left="1588" w:header="851" w:footer="1588" w:gutter="0"/>
      <w:pgNumType w:start="75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626" w:wrap="around" w:vAnchor="text" w:hAnchor="margin" w:xAlign="outside" w:y="1"/>
      <w:rPr>
        <w:rStyle w:val="5"/>
        <w:rFonts w:hint="eastAsia" w:ascii="宋体" w:hAnsi="宋体" w:eastAsia="宋体"/>
        <w:sz w:val="28"/>
        <w:szCs w:val="28"/>
      </w:rPr>
    </w:pPr>
    <w:r>
      <w:rPr>
        <w:rStyle w:val="5"/>
        <w:rFonts w:hint="eastAsia" w:ascii="宋体" w:hAnsi="宋体" w:eastAsia="宋体"/>
        <w:sz w:val="28"/>
        <w:szCs w:val="28"/>
      </w:rPr>
      <w:t xml:space="preserve">— </w:t>
    </w:r>
    <w:r>
      <w:rPr>
        <w:rStyle w:val="5"/>
        <w:rFonts w:ascii="宋体" w:hAnsi="宋体" w:eastAsia="宋体"/>
        <w:sz w:val="28"/>
        <w:szCs w:val="28"/>
      </w:rPr>
      <w:fldChar w:fldCharType="begin"/>
    </w:r>
    <w:r>
      <w:rPr>
        <w:rStyle w:val="5"/>
        <w:rFonts w:ascii="宋体" w:hAnsi="宋体" w:eastAsia="宋体"/>
        <w:sz w:val="28"/>
        <w:szCs w:val="28"/>
      </w:rPr>
      <w:instrText xml:space="preserve">PAGE  </w:instrText>
    </w:r>
    <w:r>
      <w:rPr>
        <w:rStyle w:val="5"/>
        <w:rFonts w:ascii="宋体" w:hAnsi="宋体" w:eastAsia="宋体"/>
        <w:sz w:val="28"/>
        <w:szCs w:val="28"/>
      </w:rPr>
      <w:fldChar w:fldCharType="separate"/>
    </w:r>
    <w:r>
      <w:rPr>
        <w:rStyle w:val="5"/>
        <w:rFonts w:ascii="宋体" w:hAnsi="宋体" w:eastAsia="宋体"/>
        <w:sz w:val="28"/>
        <w:szCs w:val="28"/>
      </w:rPr>
      <w:t>88</w:t>
    </w:r>
    <w:r>
      <w:rPr>
        <w:rStyle w:val="5"/>
        <w:rFonts w:ascii="宋体" w:hAnsi="宋体" w:eastAsia="宋体"/>
        <w:sz w:val="28"/>
        <w:szCs w:val="28"/>
      </w:rPr>
      <w:fldChar w:fldCharType="end"/>
    </w:r>
    <w:r>
      <w:rPr>
        <w:rStyle w:val="5"/>
        <w:rFonts w:hint="eastAsia" w:ascii="宋体" w:hAnsi="宋体" w:eastAsia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779D5C"/>
    <w:multiLevelType w:val="singleLevel"/>
    <w:tmpl w:val="60779D5C"/>
    <w:lvl w:ilvl="0" w:tentative="0">
      <w:start w:val="3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6A2800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仿宋_GB2312" w:cs="Times New Roman"/>
      <w:kern w:val="2"/>
      <w:sz w:val="28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2022-05-24T08:51:35Z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C34C38C8450945269B72C3B380285442</vt:lpwstr>
  </property>
</Properties>
</file>